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3148" w:rsidRDefault="003C3148" w:rsidP="006C7507">
      <w:pPr>
        <w:spacing w:line="480" w:lineRule="auto"/>
        <w:jc w:val="center"/>
        <w:rPr>
          <w:rFonts w:ascii="Times New Roman" w:hAnsi="Times New Roman" w:cs="Times New Roman"/>
          <w:sz w:val="24"/>
          <w:szCs w:val="24"/>
        </w:rPr>
      </w:pPr>
    </w:p>
    <w:p w:rsidR="003C3148" w:rsidRDefault="003C3148" w:rsidP="006C7507">
      <w:pPr>
        <w:spacing w:line="480" w:lineRule="auto"/>
        <w:jc w:val="center"/>
        <w:rPr>
          <w:rFonts w:ascii="Times New Roman" w:hAnsi="Times New Roman" w:cs="Times New Roman"/>
          <w:sz w:val="24"/>
          <w:szCs w:val="24"/>
        </w:rPr>
      </w:pPr>
    </w:p>
    <w:p w:rsidR="003C3148" w:rsidRDefault="003C3148" w:rsidP="006C7507">
      <w:pPr>
        <w:spacing w:line="480" w:lineRule="auto"/>
        <w:jc w:val="center"/>
        <w:rPr>
          <w:rFonts w:ascii="Times New Roman" w:hAnsi="Times New Roman" w:cs="Times New Roman"/>
          <w:sz w:val="24"/>
          <w:szCs w:val="24"/>
        </w:rPr>
      </w:pPr>
    </w:p>
    <w:p w:rsidR="003C3148" w:rsidRDefault="003C3148" w:rsidP="006C7507">
      <w:pPr>
        <w:spacing w:line="480" w:lineRule="auto"/>
        <w:jc w:val="center"/>
        <w:rPr>
          <w:rFonts w:ascii="Times New Roman" w:hAnsi="Times New Roman" w:cs="Times New Roman"/>
          <w:sz w:val="24"/>
          <w:szCs w:val="24"/>
        </w:rPr>
      </w:pPr>
    </w:p>
    <w:p w:rsidR="003C3148" w:rsidRDefault="003C3148" w:rsidP="006C7507">
      <w:pPr>
        <w:spacing w:line="480" w:lineRule="auto"/>
        <w:jc w:val="center"/>
        <w:rPr>
          <w:rFonts w:ascii="Times New Roman" w:hAnsi="Times New Roman" w:cs="Times New Roman"/>
          <w:sz w:val="24"/>
          <w:szCs w:val="24"/>
        </w:rPr>
      </w:pPr>
    </w:p>
    <w:p w:rsidR="003C3148" w:rsidRDefault="003C3148" w:rsidP="006C7507">
      <w:pPr>
        <w:spacing w:line="480" w:lineRule="auto"/>
        <w:jc w:val="center"/>
        <w:rPr>
          <w:rFonts w:ascii="Times New Roman" w:hAnsi="Times New Roman" w:cs="Times New Roman"/>
          <w:sz w:val="24"/>
          <w:szCs w:val="24"/>
        </w:rPr>
      </w:pPr>
      <w:r>
        <w:rPr>
          <w:rFonts w:ascii="Times New Roman" w:hAnsi="Times New Roman" w:cs="Times New Roman"/>
          <w:sz w:val="24"/>
          <w:szCs w:val="24"/>
        </w:rPr>
        <w:t>Change Management P</w:t>
      </w:r>
      <w:r w:rsidRPr="003C3148">
        <w:rPr>
          <w:rFonts w:ascii="Times New Roman" w:hAnsi="Times New Roman" w:cs="Times New Roman"/>
          <w:sz w:val="24"/>
          <w:szCs w:val="24"/>
        </w:rPr>
        <w:t>lan</w:t>
      </w:r>
    </w:p>
    <w:p w:rsidR="003C3148" w:rsidRDefault="003C3148" w:rsidP="006C750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C3148" w:rsidRDefault="003C3148" w:rsidP="006C7507">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B006FF" w:rsidRDefault="00B006FF" w:rsidP="006C7507">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C3148" w:rsidRPr="003C3148" w:rsidRDefault="003C3148" w:rsidP="006C7507">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C3148" w:rsidRDefault="003C3148" w:rsidP="006C7507">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C14DB7" w:rsidRPr="003C3148" w:rsidRDefault="00C14DB7" w:rsidP="006C7507">
      <w:pPr>
        <w:spacing w:line="480" w:lineRule="auto"/>
        <w:rPr>
          <w:rFonts w:ascii="Times New Roman" w:eastAsia="Calibri" w:hAnsi="Times New Roman" w:cs="Times New Roman"/>
          <w:b/>
          <w:bCs/>
          <w:sz w:val="24"/>
          <w:szCs w:val="24"/>
        </w:rPr>
      </w:pPr>
      <w:r w:rsidRPr="003C3148">
        <w:rPr>
          <w:rFonts w:ascii="Times New Roman" w:eastAsia="Calibri" w:hAnsi="Times New Roman" w:cs="Times New Roman"/>
          <w:b/>
          <w:bCs/>
          <w:sz w:val="24"/>
          <w:szCs w:val="24"/>
        </w:rPr>
        <w:lastRenderedPageBreak/>
        <w:t>Introduction</w:t>
      </w:r>
    </w:p>
    <w:p w:rsidR="00102624" w:rsidRPr="003C3148" w:rsidRDefault="00165327" w:rsidP="006C7507">
      <w:pPr>
        <w:spacing w:line="480" w:lineRule="auto"/>
        <w:rPr>
          <w:rFonts w:ascii="Times New Roman" w:hAnsi="Times New Roman" w:cs="Times New Roman"/>
          <w:bCs/>
          <w:sz w:val="24"/>
          <w:szCs w:val="24"/>
        </w:rPr>
      </w:pPr>
      <w:r>
        <w:rPr>
          <w:rFonts w:ascii="Times New Roman" w:hAnsi="Times New Roman" w:cs="Times New Roman"/>
          <w:bCs/>
          <w:sz w:val="24"/>
          <w:szCs w:val="24"/>
        </w:rPr>
        <w:tab/>
      </w:r>
      <w:r w:rsidR="00671581" w:rsidRPr="00671581">
        <w:rPr>
          <w:rFonts w:ascii="Times New Roman" w:hAnsi="Times New Roman" w:cs="Times New Roman"/>
          <w:bCs/>
          <w:sz w:val="24"/>
          <w:szCs w:val="24"/>
        </w:rPr>
        <w:t>The ambiguity global economic increment changes in association with the governmental policies impacts as well as the consumer interests trigger the necessary organizational change in business strategies. In some cases, the whole or the organizational process may encounter the change impacts. Giving example, customer preferences change can possibly lead to alteration of the organizational processes which emerge daunting whenever there is no effective organizational strategy for such a change. The failures of the change managers to fully understand the change process may spoil the organizational change processes. Therefore, an effective change management in an organization requires a clear understanding of the crucial aspects that involve critical success factors, models, and the change process. Various intellectual elements have been acknowledged following their assistance to the organization change managers hence the implementation of a thriving change process is achieved.</w:t>
      </w:r>
    </w:p>
    <w:p w:rsidR="00C14DB7" w:rsidRPr="003C3148" w:rsidRDefault="00C14DB7" w:rsidP="006C7507">
      <w:pPr>
        <w:spacing w:line="480" w:lineRule="auto"/>
        <w:rPr>
          <w:rFonts w:ascii="Times New Roman" w:eastAsia="Calibri" w:hAnsi="Times New Roman" w:cs="Times New Roman"/>
          <w:b/>
          <w:bCs/>
          <w:sz w:val="24"/>
          <w:szCs w:val="24"/>
        </w:rPr>
      </w:pPr>
      <w:r w:rsidRPr="003C3148">
        <w:rPr>
          <w:rFonts w:ascii="Times New Roman" w:eastAsia="Calibri" w:hAnsi="Times New Roman" w:cs="Times New Roman"/>
          <w:b/>
          <w:bCs/>
          <w:sz w:val="24"/>
          <w:szCs w:val="24"/>
        </w:rPr>
        <w:t>Critical Success Factors</w:t>
      </w:r>
    </w:p>
    <w:p w:rsidR="00C14DB7" w:rsidRPr="003C3148" w:rsidRDefault="00C14DB7" w:rsidP="006C7507">
      <w:pPr>
        <w:spacing w:line="480" w:lineRule="auto"/>
        <w:rPr>
          <w:rFonts w:ascii="Times New Roman" w:eastAsia="Calibri" w:hAnsi="Times New Roman" w:cs="Times New Roman"/>
          <w:b/>
          <w:bCs/>
          <w:sz w:val="24"/>
          <w:szCs w:val="24"/>
        </w:rPr>
      </w:pPr>
      <w:r w:rsidRPr="003C3148">
        <w:rPr>
          <w:rFonts w:ascii="Times New Roman" w:eastAsia="Calibri" w:hAnsi="Times New Roman" w:cs="Times New Roman"/>
          <w:b/>
          <w:bCs/>
          <w:sz w:val="24"/>
          <w:szCs w:val="24"/>
        </w:rPr>
        <w:t>Common Vision</w:t>
      </w:r>
    </w:p>
    <w:p w:rsidR="004F55E2" w:rsidRPr="003C3148" w:rsidRDefault="00CE2C92" w:rsidP="006C7507">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CE2C92">
        <w:rPr>
          <w:rFonts w:ascii="Times New Roman" w:eastAsia="Calibri" w:hAnsi="Times New Roman" w:cs="Times New Roman"/>
          <w:bCs/>
          <w:sz w:val="24"/>
          <w:szCs w:val="24"/>
        </w:rPr>
        <w:t xml:space="preserve">The implementation of a change process focuses on the achievement of a particular desired situation. For instance, a change process may be enforced following a given percentage targeted to elevate the products quality. Through a common vision revelation of greater commitment and efficient incorporation through teamwork is achievable for the organizational employees. The vision shows the direction an organization is heading for its future achievements. Again, it is an inspirational factor to the organization's employees. A clear vision forms a well-defined future which acts as a prerequisite the process of change management (Meyer, Cross, and Byrne, 2016). More essentially, with clear vision, the organizational change </w:t>
      </w:r>
      <w:r w:rsidRPr="00CE2C92">
        <w:rPr>
          <w:rFonts w:ascii="Times New Roman" w:eastAsia="Calibri" w:hAnsi="Times New Roman" w:cs="Times New Roman"/>
          <w:bCs/>
          <w:sz w:val="24"/>
          <w:szCs w:val="24"/>
        </w:rPr>
        <w:lastRenderedPageBreak/>
        <w:t>process is effectively implemented in accordance with the anticipated work-frame of the vision. As there is uncertainty chaos creation bound to many change processes in the organization's employees, a precise vision assists in employees guidance hence possibilities of change processes failure been prevented. Therefore, as a result, many corporate organizations emerged with failures associated with management of change processes only owing absence or the unclear vision to guide the change processes.</w:t>
      </w:r>
    </w:p>
    <w:p w:rsidR="00C14DB7" w:rsidRPr="003C3148" w:rsidRDefault="00C14DB7" w:rsidP="006C7507">
      <w:pPr>
        <w:spacing w:line="480" w:lineRule="auto"/>
        <w:rPr>
          <w:rFonts w:ascii="Times New Roman" w:eastAsia="Calibri" w:hAnsi="Times New Roman" w:cs="Times New Roman"/>
          <w:bCs/>
          <w:sz w:val="24"/>
          <w:szCs w:val="24"/>
        </w:rPr>
      </w:pPr>
      <w:r w:rsidRPr="003C3148">
        <w:rPr>
          <w:rFonts w:ascii="Times New Roman" w:eastAsia="Calibri" w:hAnsi="Times New Roman" w:cs="Times New Roman"/>
          <w:b/>
          <w:bCs/>
          <w:sz w:val="24"/>
          <w:szCs w:val="24"/>
        </w:rPr>
        <w:t>Communication</w:t>
      </w:r>
    </w:p>
    <w:p w:rsidR="00351D68" w:rsidRPr="003C3148" w:rsidRDefault="00B933FC" w:rsidP="006C7507">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B933FC">
        <w:rPr>
          <w:rFonts w:ascii="Times New Roman" w:eastAsia="Calibri" w:hAnsi="Times New Roman" w:cs="Times New Roman"/>
          <w:bCs/>
          <w:sz w:val="24"/>
          <w:szCs w:val="24"/>
        </w:rPr>
        <w:t xml:space="preserve">Among the factors that contribute to the rise of change in an organization comprises of the technological changes, customer reviews, and the employees' dissatisfaction. An effective communication is a necessity following the organization managers identification of the need for a change. Resistance to change initiatives is often through the managers' simple response following dissatisfaction and execution of the change initiatives. The employees' reluctant feeling to surrender their comfort areas initiates resistance to the change process. Despite that, effective communication can be implemented to overcome the resistance aspect. The head of departments and the top management needs communication for the change process through the organization managers (Kotter, 2009). Effectively, this permits every of the organization employee to get a clear acknowledgment of the need for the change processes. A tying communication process to the change is necessary for the improvement of the organization performance thus the top management and the employees perceive the need regarding the change process (Ketil Arnulf, 2012). The aspect enhances the sense of unity through which the organization workers need not to perceive the innovative process like management strategy, but feel as they are a fraction of the organizational change process. In addition, the change </w:t>
      </w:r>
      <w:r w:rsidRPr="00B933FC">
        <w:rPr>
          <w:rFonts w:ascii="Times New Roman" w:eastAsia="Calibri" w:hAnsi="Times New Roman" w:cs="Times New Roman"/>
          <w:bCs/>
          <w:sz w:val="24"/>
          <w:szCs w:val="24"/>
        </w:rPr>
        <w:lastRenderedPageBreak/>
        <w:t>communication points out doubts and therefore compels the organization's workforce to attain the change initiatives.</w:t>
      </w:r>
    </w:p>
    <w:p w:rsidR="00594541" w:rsidRPr="003C3148" w:rsidRDefault="00C14DB7" w:rsidP="006C7507">
      <w:pPr>
        <w:spacing w:line="480" w:lineRule="auto"/>
        <w:rPr>
          <w:rFonts w:ascii="Times New Roman" w:eastAsia="Calibri" w:hAnsi="Times New Roman" w:cs="Times New Roman"/>
          <w:b/>
          <w:bCs/>
          <w:sz w:val="24"/>
          <w:szCs w:val="24"/>
        </w:rPr>
      </w:pPr>
      <w:r w:rsidRPr="003C3148">
        <w:rPr>
          <w:rFonts w:ascii="Times New Roman" w:eastAsia="Calibri" w:hAnsi="Times New Roman" w:cs="Times New Roman"/>
          <w:b/>
          <w:bCs/>
          <w:sz w:val="24"/>
          <w:szCs w:val="24"/>
        </w:rPr>
        <w:t>Stakeholder Alignment</w:t>
      </w:r>
    </w:p>
    <w:p w:rsidR="00594541" w:rsidRPr="003C3148" w:rsidRDefault="00B14575" w:rsidP="006C7507">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B14575">
        <w:rPr>
          <w:rFonts w:ascii="Times New Roman" w:eastAsia="Calibri" w:hAnsi="Times New Roman" w:cs="Times New Roman"/>
          <w:bCs/>
          <w:sz w:val="24"/>
          <w:szCs w:val="24"/>
        </w:rPr>
        <w:t>The existence of organizations is driven by its stakeholders and shareholders service interests. All the stakeholders of the organization must essentially be considered upon any change initiative process. Their contributed efforts to the change initiatives should be keenly considered. An obligatory underline pertaining the stakeholder management plan portrays an effective communication strategy which assists to develop supportive understanding towards change. The stakeholder alignment aspect declares that they possess the capability to determine the failure or success of an organizational change process. Ultimately, not only the organization change managers should point the needs of change understanding and develop the organization but also play a role towards the needed change (Higgins, Weiner, and Young, 2012).</w:t>
      </w:r>
    </w:p>
    <w:p w:rsidR="00C14DB7" w:rsidRPr="003C3148" w:rsidRDefault="00C14DB7" w:rsidP="006C7507">
      <w:pPr>
        <w:spacing w:line="480" w:lineRule="auto"/>
        <w:rPr>
          <w:rFonts w:ascii="Times New Roman" w:eastAsia="Calibri" w:hAnsi="Times New Roman" w:cs="Times New Roman"/>
          <w:bCs/>
          <w:sz w:val="24"/>
          <w:szCs w:val="24"/>
        </w:rPr>
      </w:pPr>
      <w:r w:rsidRPr="003C3148">
        <w:rPr>
          <w:rFonts w:ascii="Times New Roman" w:eastAsia="Calibri" w:hAnsi="Times New Roman" w:cs="Times New Roman"/>
          <w:b/>
          <w:bCs/>
          <w:sz w:val="24"/>
          <w:szCs w:val="24"/>
        </w:rPr>
        <w:t xml:space="preserve">Enabling Behavior </w:t>
      </w:r>
    </w:p>
    <w:p w:rsidR="00BA56EB" w:rsidRPr="003C3148" w:rsidRDefault="002E764B" w:rsidP="006C7507">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2E764B">
        <w:rPr>
          <w:rFonts w:ascii="Times New Roman" w:eastAsia="Calibri" w:hAnsi="Times New Roman" w:cs="Times New Roman"/>
          <w:bCs/>
          <w:sz w:val="24"/>
          <w:szCs w:val="24"/>
        </w:rPr>
        <w:t xml:space="preserve">The behavior level forms the induction foundational of the organizational change initiatives. Successful modification of the organizational structure through the change manager's ability helps in the sustenance of a change process. The measurement strategies, the job descriptions, and the performance measurements planning are affected by the organizational change. In the creation of the essential organizational behaviors, realignment of these needs crucial attention. Referring to the earlier outline in the discourse, due to the change processes impacts to the </w:t>
      </w:r>
      <w:r w:rsidR="00B006FF" w:rsidRPr="002E764B">
        <w:rPr>
          <w:rFonts w:ascii="Times New Roman" w:eastAsia="Calibri" w:hAnsi="Times New Roman" w:cs="Times New Roman"/>
          <w:bCs/>
          <w:sz w:val="24"/>
          <w:szCs w:val="24"/>
        </w:rPr>
        <w:t>employees;</w:t>
      </w:r>
      <w:r w:rsidRPr="002E764B">
        <w:rPr>
          <w:rFonts w:ascii="Times New Roman" w:eastAsia="Calibri" w:hAnsi="Times New Roman" w:cs="Times New Roman"/>
          <w:bCs/>
          <w:sz w:val="24"/>
          <w:szCs w:val="24"/>
        </w:rPr>
        <w:t xml:space="preserve"> they often tend to offer resistance to the change processes in the organization. Consequently, the change leader is acquainted with the responsibility to provide guidance, training, and present moral support to assist the employees through the new </w:t>
      </w:r>
      <w:r w:rsidRPr="002E764B">
        <w:rPr>
          <w:rFonts w:ascii="Times New Roman" w:eastAsia="Calibri" w:hAnsi="Times New Roman" w:cs="Times New Roman"/>
          <w:bCs/>
          <w:sz w:val="24"/>
          <w:szCs w:val="24"/>
        </w:rPr>
        <w:lastRenderedPageBreak/>
        <w:t>organizational culture transition (Hayes, 2014). While in appreciation of whatever little winnings, it is also necessary to implement a steady response to the employees under the change management process. Effectively, this emphasizes the innovative activities together with the employees' encouragement to same direction progress hence ensures the sustainability of the change process.</w:t>
      </w:r>
    </w:p>
    <w:p w:rsidR="00BA56EB" w:rsidRPr="003C3148" w:rsidRDefault="00C14DB7" w:rsidP="006C7507">
      <w:pPr>
        <w:spacing w:line="480" w:lineRule="auto"/>
        <w:rPr>
          <w:rFonts w:ascii="Times New Roman" w:eastAsia="Calibri" w:hAnsi="Times New Roman" w:cs="Times New Roman"/>
          <w:bCs/>
          <w:sz w:val="24"/>
          <w:szCs w:val="24"/>
        </w:rPr>
      </w:pPr>
      <w:r w:rsidRPr="003C3148">
        <w:rPr>
          <w:rFonts w:ascii="Times New Roman" w:eastAsia="Calibri" w:hAnsi="Times New Roman" w:cs="Times New Roman"/>
          <w:b/>
          <w:bCs/>
          <w:sz w:val="24"/>
          <w:szCs w:val="24"/>
        </w:rPr>
        <w:t>Change Team</w:t>
      </w:r>
    </w:p>
    <w:p w:rsidR="00667C82" w:rsidRDefault="00F045A4" w:rsidP="006C7507">
      <w:pPr>
        <w:spacing w:line="480" w:lineRule="auto"/>
        <w:rPr>
          <w:rFonts w:ascii="Times New Roman" w:eastAsia="Calibri" w:hAnsi="Times New Roman" w:cs="Times New Roman"/>
          <w:bCs/>
          <w:sz w:val="24"/>
          <w:szCs w:val="24"/>
        </w:rPr>
      </w:pPr>
      <w:r>
        <w:rPr>
          <w:rFonts w:ascii="Times New Roman" w:eastAsia="Calibri" w:hAnsi="Times New Roman" w:cs="Times New Roman"/>
          <w:bCs/>
          <w:sz w:val="24"/>
          <w:szCs w:val="24"/>
        </w:rPr>
        <w:tab/>
      </w:r>
      <w:r w:rsidRPr="00F045A4">
        <w:rPr>
          <w:rFonts w:ascii="Times New Roman" w:eastAsia="Calibri" w:hAnsi="Times New Roman" w:cs="Times New Roman"/>
          <w:bCs/>
          <w:sz w:val="24"/>
          <w:szCs w:val="24"/>
        </w:rPr>
        <w:t>There are essential roles that the active representative change team acts in the management of an organizational change. The workforce coaching, guidance, and driving force emerge as some of the change team roles for the effective change process. Individuals from every necessary department of the organization and the stakeholders should get involved in the creation of the change team. In addition, the mindsets and behavioral change are prerequisite necessities of the change leadership team that explicitly models the organizational changes (Groves, 2006). Moreover, besides change team being representative, cohesion is similarly an essential factor to practice. Cohesion in the representative change team is imperative for assurance of the common goals meant for the change processes. Good communication, as well as an effective size, should attribute the change team hence influential change initiatives implementation ensured. More essential, a good size change team implementation is efficiently imperative towards prevention of bogging up and effective utilization of resources in a change process. Unfortunately, overuse of the organization resources during the change process can possibly occur following the imposition of a huge change team hence compromising the process implementation (Sghari, 2016).</w:t>
      </w:r>
    </w:p>
    <w:p w:rsidR="006C7507" w:rsidRPr="003C3148" w:rsidRDefault="006C7507" w:rsidP="006C7507">
      <w:pPr>
        <w:spacing w:line="480" w:lineRule="auto"/>
        <w:rPr>
          <w:rFonts w:ascii="Times New Roman" w:eastAsia="Calibri" w:hAnsi="Times New Roman" w:cs="Times New Roman"/>
          <w:bCs/>
          <w:sz w:val="24"/>
          <w:szCs w:val="24"/>
        </w:rPr>
      </w:pPr>
    </w:p>
    <w:p w:rsidR="00667C82" w:rsidRPr="003C3148" w:rsidRDefault="00C14DB7" w:rsidP="006C7507">
      <w:pPr>
        <w:spacing w:line="480" w:lineRule="auto"/>
        <w:rPr>
          <w:rFonts w:ascii="Times New Roman" w:eastAsia="Calibri" w:hAnsi="Times New Roman" w:cs="Times New Roman"/>
          <w:b/>
          <w:sz w:val="24"/>
          <w:szCs w:val="24"/>
        </w:rPr>
      </w:pPr>
      <w:r w:rsidRPr="003C3148">
        <w:rPr>
          <w:rFonts w:ascii="Times New Roman" w:eastAsia="Calibri" w:hAnsi="Times New Roman" w:cs="Times New Roman"/>
          <w:b/>
          <w:sz w:val="24"/>
          <w:szCs w:val="24"/>
        </w:rPr>
        <w:lastRenderedPageBreak/>
        <w:t>The Role of Effective Leadership</w:t>
      </w:r>
    </w:p>
    <w:p w:rsidR="00F045A4" w:rsidRPr="00F045A4" w:rsidRDefault="00F045A4" w:rsidP="006C7507">
      <w:pPr>
        <w:spacing w:line="480" w:lineRule="auto"/>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ab/>
      </w:r>
      <w:r w:rsidRPr="00F045A4">
        <w:rPr>
          <w:rFonts w:ascii="Times New Roman" w:eastAsia="Calibri" w:hAnsi="Times New Roman" w:cs="Times New Roman"/>
          <w:sz w:val="24"/>
          <w:szCs w:val="24"/>
          <w:shd w:val="clear" w:color="auto" w:fill="FFFFFF"/>
        </w:rPr>
        <w:t>Many leaders put much attention to the technical factors that are related to the change processes. These factors comprise the proper systems, processes, rewards, technologies, and the organizational structures. In regard to the implementation of a successful change, leaders proactively play their roles in the assurance of focused human and technical aspects. Effective leadership comprises various attributes involving openness, realism, confidence, self-drive, tenacity, ambition, creativity, and fairness (Anderson, et.al, 2010). The above-mentioned traits critically make essential components of leadership utilization in change process management. In progress of any organizational change process, leadership provides moral and motivational support to employees as it also acts as an enabler, offers direction, and manages the change process.</w:t>
      </w:r>
    </w:p>
    <w:p w:rsidR="006130E9" w:rsidRDefault="00F045A4" w:rsidP="006C7507">
      <w:pPr>
        <w:spacing w:line="480" w:lineRule="auto"/>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tab/>
      </w:r>
      <w:r w:rsidRPr="00F045A4">
        <w:rPr>
          <w:rFonts w:ascii="Times New Roman" w:eastAsia="Calibri" w:hAnsi="Times New Roman" w:cs="Times New Roman"/>
          <w:sz w:val="24"/>
          <w:szCs w:val="24"/>
          <w:shd w:val="clear" w:color="auto" w:fill="FFFFFF"/>
        </w:rPr>
        <w:t xml:space="preserve">However, any successful change management offers an exemplary set pace for others to follow while in control of what is being done. The detailed leadership plan models the change process as it similarly informs others of the change idea. Leaders have the role to sufficiently educate and guide the employees on the relevance of the change process hence effectively eliminate the resistance to change. Another important role leadership plays in change process management outlines the leader's listening concern to the employees during the transitional change period. They are further acquainted with the duty to constantly review and evaluate solutions for the identified obstacles, a practice that leads to success and provision of possible help to the organization employees (Ajmal, et.al, 2013). Communication factor occurs one among the main aspects of the organizational change management. The effectiveness of change process communication determines the effectiveness of the change initiatives. Achievement of undesired change initiatives in any change process may result from under-communication. </w:t>
      </w:r>
      <w:r w:rsidRPr="00F045A4">
        <w:rPr>
          <w:rFonts w:ascii="Times New Roman" w:eastAsia="Calibri" w:hAnsi="Times New Roman" w:cs="Times New Roman"/>
          <w:sz w:val="24"/>
          <w:szCs w:val="24"/>
          <w:shd w:val="clear" w:color="auto" w:fill="FFFFFF"/>
        </w:rPr>
        <w:lastRenderedPageBreak/>
        <w:t>Therefore, the change managers or leaders are obligated with the communication task for the implementation of a change process.</w:t>
      </w:r>
    </w:p>
    <w:p w:rsidR="006130E9" w:rsidRDefault="006130E9" w:rsidP="006C7507">
      <w:pPr>
        <w:spacing w:line="480" w:lineRule="auto"/>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br w:type="page"/>
      </w:r>
    </w:p>
    <w:p w:rsidR="006130E9" w:rsidRDefault="006130E9" w:rsidP="006C7507">
      <w:pPr>
        <w:spacing w:line="480" w:lineRule="auto"/>
        <w:jc w:val="center"/>
        <w:rPr>
          <w:rFonts w:ascii="Times New Roman" w:eastAsia="Calibri" w:hAnsi="Times New Roman" w:cs="Times New Roman"/>
          <w:sz w:val="24"/>
          <w:szCs w:val="24"/>
          <w:shd w:val="clear" w:color="auto" w:fill="FFFFFF"/>
        </w:rPr>
      </w:pPr>
      <w:r>
        <w:rPr>
          <w:rFonts w:ascii="Times New Roman" w:eastAsia="Calibri" w:hAnsi="Times New Roman" w:cs="Times New Roman"/>
          <w:sz w:val="24"/>
          <w:szCs w:val="24"/>
          <w:shd w:val="clear" w:color="auto" w:fill="FFFFFF"/>
        </w:rPr>
        <w:lastRenderedPageBreak/>
        <w:t>References</w:t>
      </w:r>
    </w:p>
    <w:p w:rsidR="006130E9" w:rsidRDefault="006130E9" w:rsidP="006C7507">
      <w:pPr>
        <w:spacing w:after="0" w:line="480" w:lineRule="auto"/>
        <w:ind w:left="720" w:hanging="720"/>
        <w:rPr>
          <w:rFonts w:ascii="Times New Roman" w:eastAsia="Times New Roman" w:hAnsi="Times New Roman" w:cs="Times New Roman"/>
          <w:color w:val="000000"/>
          <w:sz w:val="24"/>
          <w:szCs w:val="24"/>
        </w:rPr>
      </w:pPr>
      <w:r w:rsidRPr="00D9746D">
        <w:rPr>
          <w:rFonts w:ascii="Times New Roman" w:eastAsia="Times New Roman" w:hAnsi="Times New Roman" w:cs="Times New Roman"/>
          <w:color w:val="000000"/>
          <w:sz w:val="24"/>
          <w:szCs w:val="24"/>
        </w:rPr>
        <w:t>Ajmal, S., Farooq, M.Z., Sajid, N. and Awan, S. (2013) ‘Role of Leadership in Change Management Process’,</w:t>
      </w:r>
      <w:r>
        <w:rPr>
          <w:rFonts w:ascii="Times New Roman" w:eastAsia="Times New Roman" w:hAnsi="Times New Roman" w:cs="Times New Roman"/>
          <w:color w:val="000000"/>
          <w:sz w:val="24"/>
          <w:szCs w:val="24"/>
        </w:rPr>
        <w:t xml:space="preserve"> </w:t>
      </w:r>
      <w:r w:rsidRPr="00D9746D">
        <w:rPr>
          <w:rFonts w:ascii="Times New Roman" w:eastAsia="Times New Roman" w:hAnsi="Times New Roman" w:cs="Times New Roman"/>
          <w:i/>
          <w:iCs/>
          <w:color w:val="000000"/>
          <w:sz w:val="24"/>
          <w:szCs w:val="24"/>
        </w:rPr>
        <w:t>Abasyn Journal of Social Sciences</w:t>
      </w:r>
      <w:r w:rsidRPr="00D9746D">
        <w:rPr>
          <w:rFonts w:ascii="Times New Roman" w:eastAsia="Times New Roman" w:hAnsi="Times New Roman" w:cs="Times New Roman"/>
          <w:color w:val="000000"/>
          <w:sz w:val="24"/>
          <w:szCs w:val="24"/>
        </w:rPr>
        <w:t>, 5(2), pp. 111–124.</w:t>
      </w:r>
    </w:p>
    <w:p w:rsidR="006130E9" w:rsidRDefault="006130E9" w:rsidP="006C7507">
      <w:pPr>
        <w:spacing w:after="0" w:line="480" w:lineRule="auto"/>
        <w:ind w:left="720" w:hanging="720"/>
        <w:rPr>
          <w:rFonts w:ascii="Times New Roman" w:eastAsia="Times New Roman" w:hAnsi="Times New Roman" w:cs="Times New Roman"/>
          <w:color w:val="000000"/>
          <w:sz w:val="24"/>
          <w:szCs w:val="24"/>
        </w:rPr>
      </w:pPr>
      <w:r w:rsidRPr="00D9746D">
        <w:rPr>
          <w:rFonts w:ascii="Times New Roman" w:eastAsia="Times New Roman" w:hAnsi="Times New Roman" w:cs="Times New Roman"/>
          <w:color w:val="000000"/>
          <w:sz w:val="24"/>
          <w:szCs w:val="24"/>
        </w:rPr>
        <w:t>Anderson, D., Anderson, L.A.R. and Ackerman-Anderson, L.S. (2010)</w:t>
      </w:r>
      <w:r w:rsidRPr="007D336C">
        <w:rPr>
          <w:rFonts w:ascii="Times New Roman" w:eastAsia="Times New Roman" w:hAnsi="Times New Roman" w:cs="Times New Roman"/>
          <w:color w:val="000000"/>
          <w:sz w:val="24"/>
          <w:szCs w:val="24"/>
        </w:rPr>
        <w:t> </w:t>
      </w:r>
      <w:r w:rsidRPr="00D9746D">
        <w:rPr>
          <w:rFonts w:ascii="Times New Roman" w:eastAsia="Times New Roman" w:hAnsi="Times New Roman" w:cs="Times New Roman"/>
          <w:i/>
          <w:iCs/>
          <w:color w:val="000000"/>
          <w:sz w:val="24"/>
          <w:szCs w:val="24"/>
        </w:rPr>
        <w:t>Beyond change management: How to achieve breakthrough results through conscious change leadership - 2nd edition</w:t>
      </w:r>
      <w:r w:rsidRPr="00D9746D">
        <w:rPr>
          <w:rFonts w:ascii="Times New Roman" w:eastAsia="Times New Roman" w:hAnsi="Times New Roman" w:cs="Times New Roman"/>
          <w:color w:val="000000"/>
          <w:sz w:val="24"/>
          <w:szCs w:val="24"/>
        </w:rPr>
        <w:t>. 2nd edn. San Francisco: John Wiley &amp; Sons.</w:t>
      </w:r>
    </w:p>
    <w:p w:rsidR="006130E9" w:rsidRDefault="006130E9" w:rsidP="006C7507">
      <w:pPr>
        <w:spacing w:after="0" w:line="480" w:lineRule="auto"/>
        <w:ind w:left="720" w:hanging="720"/>
        <w:rPr>
          <w:rFonts w:ascii="Times New Roman" w:eastAsia="Times New Roman" w:hAnsi="Times New Roman" w:cs="Times New Roman"/>
          <w:color w:val="000000"/>
          <w:sz w:val="24"/>
          <w:szCs w:val="24"/>
        </w:rPr>
      </w:pPr>
      <w:r w:rsidRPr="00D9746D">
        <w:rPr>
          <w:rFonts w:ascii="Times New Roman" w:eastAsia="Times New Roman" w:hAnsi="Times New Roman" w:cs="Times New Roman"/>
          <w:color w:val="000000"/>
          <w:sz w:val="24"/>
          <w:szCs w:val="24"/>
        </w:rPr>
        <w:t>Groves, K.S. (2006) ‘Leader emotional expressivity, visionary leadership, and organizational change’,</w:t>
      </w:r>
      <w:r w:rsidRPr="00D9746D">
        <w:rPr>
          <w:rFonts w:ascii="Times New Roman" w:eastAsia="Times New Roman" w:hAnsi="Times New Roman" w:cs="Times New Roman"/>
          <w:i/>
          <w:iCs/>
          <w:color w:val="000000"/>
          <w:sz w:val="24"/>
          <w:szCs w:val="24"/>
        </w:rPr>
        <w:t xml:space="preserve"> Leadership &amp; Organization Development Journal</w:t>
      </w:r>
      <w:r w:rsidRPr="00D9746D">
        <w:rPr>
          <w:rFonts w:ascii="Times New Roman" w:eastAsia="Times New Roman" w:hAnsi="Times New Roman" w:cs="Times New Roman"/>
          <w:color w:val="000000"/>
          <w:sz w:val="24"/>
          <w:szCs w:val="24"/>
        </w:rPr>
        <w:t>, 27(7), pp. 566–583.</w:t>
      </w:r>
      <w:r>
        <w:rPr>
          <w:rFonts w:ascii="Times New Roman" w:eastAsia="Times New Roman" w:hAnsi="Times New Roman" w:cs="Times New Roman"/>
          <w:color w:val="000000"/>
          <w:sz w:val="24"/>
          <w:szCs w:val="24"/>
        </w:rPr>
        <w:t xml:space="preserve"> </w:t>
      </w:r>
    </w:p>
    <w:p w:rsidR="006130E9" w:rsidRDefault="006130E9" w:rsidP="006C7507">
      <w:pPr>
        <w:spacing w:after="0" w:line="480" w:lineRule="auto"/>
        <w:ind w:left="720" w:hanging="720"/>
        <w:rPr>
          <w:rFonts w:ascii="Times New Roman" w:eastAsia="Times New Roman" w:hAnsi="Times New Roman" w:cs="Times New Roman"/>
          <w:color w:val="000000"/>
          <w:sz w:val="24"/>
          <w:szCs w:val="24"/>
        </w:rPr>
      </w:pPr>
      <w:r w:rsidRPr="00D9746D">
        <w:rPr>
          <w:rFonts w:ascii="Times New Roman" w:eastAsia="Times New Roman" w:hAnsi="Times New Roman" w:cs="Times New Roman"/>
          <w:color w:val="000000"/>
          <w:sz w:val="24"/>
          <w:szCs w:val="24"/>
        </w:rPr>
        <w:t>Hayes, J. (2014)</w:t>
      </w:r>
      <w:r w:rsidRPr="007D336C">
        <w:rPr>
          <w:rFonts w:ascii="Times New Roman" w:eastAsia="Times New Roman" w:hAnsi="Times New Roman" w:cs="Times New Roman"/>
          <w:color w:val="000000"/>
          <w:sz w:val="24"/>
          <w:szCs w:val="24"/>
        </w:rPr>
        <w:t> </w:t>
      </w:r>
      <w:r w:rsidRPr="00D9746D">
        <w:rPr>
          <w:rFonts w:ascii="Times New Roman" w:eastAsia="Times New Roman" w:hAnsi="Times New Roman" w:cs="Times New Roman"/>
          <w:i/>
          <w:iCs/>
          <w:color w:val="000000"/>
          <w:sz w:val="24"/>
          <w:szCs w:val="24"/>
        </w:rPr>
        <w:t>The theory and practice of change management</w:t>
      </w:r>
      <w:r w:rsidRPr="00D9746D">
        <w:rPr>
          <w:rFonts w:ascii="Times New Roman" w:eastAsia="Times New Roman" w:hAnsi="Times New Roman" w:cs="Times New Roman"/>
          <w:color w:val="000000"/>
          <w:sz w:val="24"/>
          <w:szCs w:val="24"/>
        </w:rPr>
        <w:t>. 4th edn. Basingstoke: Palgrave Macmillan.</w:t>
      </w:r>
    </w:p>
    <w:p w:rsidR="006130E9" w:rsidRPr="00CC79D0" w:rsidRDefault="006130E9" w:rsidP="006C7507">
      <w:pPr>
        <w:spacing w:after="0" w:line="480" w:lineRule="auto"/>
        <w:ind w:left="720" w:hanging="720"/>
        <w:rPr>
          <w:rFonts w:ascii="Times New Roman" w:eastAsia="Times New Roman" w:hAnsi="Times New Roman" w:cs="Times New Roman"/>
          <w:color w:val="000000"/>
          <w:sz w:val="24"/>
          <w:szCs w:val="24"/>
        </w:rPr>
      </w:pPr>
      <w:r w:rsidRPr="00D9746D">
        <w:rPr>
          <w:rFonts w:ascii="Times New Roman" w:eastAsia="Times New Roman" w:hAnsi="Times New Roman" w:cs="Times New Roman"/>
          <w:color w:val="000000"/>
          <w:sz w:val="24"/>
          <w:szCs w:val="24"/>
        </w:rPr>
        <w:t>Higgins, M.C., Weiner, J. and Young, L. (2012) ‘Implementation teams: A new lever for organizational change’,</w:t>
      </w:r>
      <w:r w:rsidRPr="00CC79D0">
        <w:rPr>
          <w:rFonts w:ascii="Times New Roman" w:eastAsia="Times New Roman" w:hAnsi="Times New Roman" w:cs="Times New Roman"/>
          <w:color w:val="000000"/>
          <w:sz w:val="24"/>
          <w:szCs w:val="24"/>
        </w:rPr>
        <w:t> </w:t>
      </w:r>
      <w:r w:rsidRPr="00D9746D">
        <w:rPr>
          <w:rFonts w:ascii="Times New Roman" w:eastAsia="Times New Roman" w:hAnsi="Times New Roman" w:cs="Times New Roman"/>
          <w:i/>
          <w:iCs/>
          <w:color w:val="000000"/>
          <w:sz w:val="24"/>
          <w:szCs w:val="24"/>
        </w:rPr>
        <w:t>Journal of Organizational Behavior</w:t>
      </w:r>
      <w:r w:rsidRPr="00D9746D">
        <w:rPr>
          <w:rFonts w:ascii="Times New Roman" w:eastAsia="Times New Roman" w:hAnsi="Times New Roman" w:cs="Times New Roman"/>
          <w:color w:val="000000"/>
          <w:sz w:val="24"/>
          <w:szCs w:val="24"/>
        </w:rPr>
        <w:t>, 33(3), pp.</w:t>
      </w:r>
      <w:r w:rsidRPr="00CC79D0">
        <w:rPr>
          <w:rFonts w:ascii="Times New Roman" w:eastAsia="Times New Roman" w:hAnsi="Times New Roman" w:cs="Times New Roman"/>
          <w:color w:val="000000"/>
          <w:sz w:val="24"/>
          <w:szCs w:val="24"/>
        </w:rPr>
        <w:t xml:space="preserve"> 366–388. </w:t>
      </w:r>
    </w:p>
    <w:p w:rsidR="006130E9" w:rsidRPr="00CC79D0" w:rsidRDefault="006130E9" w:rsidP="006C7507">
      <w:pPr>
        <w:spacing w:after="240" w:line="480" w:lineRule="auto"/>
        <w:rPr>
          <w:rFonts w:ascii="Times New Roman" w:eastAsia="Calibri" w:hAnsi="Times New Roman" w:cs="Times New Roman"/>
          <w:sz w:val="24"/>
          <w:szCs w:val="24"/>
        </w:rPr>
      </w:pPr>
      <w:r w:rsidRPr="00CC79D0">
        <w:rPr>
          <w:rFonts w:ascii="Times New Roman" w:eastAsia="Calibri" w:hAnsi="Times New Roman" w:cs="Times New Roman"/>
          <w:sz w:val="24"/>
          <w:szCs w:val="24"/>
        </w:rPr>
        <w:t xml:space="preserve">Ketil Arnulf, J. (2012) ‘Organizational change capacity and composition of management teams’, </w:t>
      </w:r>
      <w:r w:rsidRPr="00CC79D0">
        <w:rPr>
          <w:rFonts w:ascii="Times New Roman" w:eastAsia="Calibri" w:hAnsi="Times New Roman" w:cs="Times New Roman"/>
          <w:i/>
          <w:iCs/>
          <w:sz w:val="24"/>
          <w:szCs w:val="24"/>
        </w:rPr>
        <w:t>Team Performance Management: An International Journal</w:t>
      </w:r>
      <w:r w:rsidRPr="00CC79D0">
        <w:rPr>
          <w:rFonts w:ascii="Times New Roman" w:eastAsia="Calibri" w:hAnsi="Times New Roman" w:cs="Times New Roman"/>
          <w:sz w:val="24"/>
          <w:szCs w:val="24"/>
        </w:rPr>
        <w:t>, 18(7/8), pp. 433–454.</w:t>
      </w:r>
    </w:p>
    <w:p w:rsidR="006130E9" w:rsidRPr="00CC79D0" w:rsidRDefault="006130E9" w:rsidP="006C7507">
      <w:pPr>
        <w:spacing w:after="0" w:line="480" w:lineRule="auto"/>
        <w:ind w:left="720" w:hanging="720"/>
        <w:rPr>
          <w:rFonts w:ascii="Times New Roman" w:eastAsia="Times New Roman" w:hAnsi="Times New Roman" w:cs="Times New Roman"/>
          <w:color w:val="000000"/>
          <w:sz w:val="24"/>
          <w:szCs w:val="24"/>
        </w:rPr>
      </w:pPr>
      <w:r w:rsidRPr="00D9746D">
        <w:rPr>
          <w:rFonts w:ascii="Times New Roman" w:eastAsia="Times New Roman" w:hAnsi="Times New Roman" w:cs="Times New Roman"/>
          <w:color w:val="000000"/>
          <w:sz w:val="24"/>
          <w:szCs w:val="24"/>
        </w:rPr>
        <w:t>Kotter, J. (2009) ‘Leading change: Why transformation efforts fail’,</w:t>
      </w:r>
      <w:r w:rsidRPr="00CC79D0">
        <w:rPr>
          <w:rFonts w:ascii="Times New Roman" w:eastAsia="Times New Roman" w:hAnsi="Times New Roman" w:cs="Times New Roman"/>
          <w:color w:val="000000"/>
          <w:sz w:val="24"/>
          <w:szCs w:val="24"/>
        </w:rPr>
        <w:t> </w:t>
      </w:r>
      <w:r w:rsidRPr="00D9746D">
        <w:rPr>
          <w:rFonts w:ascii="Times New Roman" w:eastAsia="Times New Roman" w:hAnsi="Times New Roman" w:cs="Times New Roman"/>
          <w:i/>
          <w:iCs/>
          <w:color w:val="000000"/>
          <w:sz w:val="24"/>
          <w:szCs w:val="24"/>
        </w:rPr>
        <w:t>IEEE Engineering Management Review</w:t>
      </w:r>
      <w:r w:rsidRPr="00D9746D">
        <w:rPr>
          <w:rFonts w:ascii="Times New Roman" w:eastAsia="Times New Roman" w:hAnsi="Times New Roman" w:cs="Times New Roman"/>
          <w:color w:val="000000"/>
          <w:sz w:val="24"/>
          <w:szCs w:val="24"/>
        </w:rPr>
        <w:t>, 37(3), pp. 42–48.</w:t>
      </w:r>
    </w:p>
    <w:p w:rsidR="006130E9" w:rsidRPr="00D9746D" w:rsidRDefault="006130E9" w:rsidP="006C7507">
      <w:pPr>
        <w:spacing w:after="0" w:line="480" w:lineRule="auto"/>
        <w:ind w:left="720" w:hanging="720"/>
        <w:rPr>
          <w:rFonts w:ascii="Times New Roman" w:eastAsia="Times New Roman" w:hAnsi="Times New Roman" w:cs="Times New Roman"/>
          <w:color w:val="000000"/>
          <w:sz w:val="24"/>
          <w:szCs w:val="24"/>
        </w:rPr>
      </w:pPr>
      <w:r w:rsidRPr="00D9746D">
        <w:rPr>
          <w:rFonts w:ascii="Times New Roman" w:eastAsia="Times New Roman" w:hAnsi="Times New Roman" w:cs="Times New Roman"/>
          <w:color w:val="000000"/>
          <w:sz w:val="24"/>
          <w:szCs w:val="24"/>
        </w:rPr>
        <w:t>Meyer, M.A., Cross, J.E. and Byrne, Z.S. (2016) ‘Frame Decoupling for organizational change: Building support across divergent Stakeholders’,</w:t>
      </w:r>
      <w:r w:rsidRPr="007D336C">
        <w:rPr>
          <w:rFonts w:ascii="Times New Roman" w:eastAsia="Times New Roman" w:hAnsi="Times New Roman" w:cs="Times New Roman"/>
          <w:color w:val="000000"/>
          <w:sz w:val="24"/>
          <w:szCs w:val="24"/>
        </w:rPr>
        <w:t> </w:t>
      </w:r>
      <w:r w:rsidRPr="00D9746D">
        <w:rPr>
          <w:rFonts w:ascii="Times New Roman" w:eastAsia="Times New Roman" w:hAnsi="Times New Roman" w:cs="Times New Roman"/>
          <w:i/>
          <w:iCs/>
          <w:color w:val="000000"/>
          <w:sz w:val="24"/>
          <w:szCs w:val="24"/>
        </w:rPr>
        <w:t>Organization &amp; Environment</w:t>
      </w:r>
      <w:r w:rsidRPr="00D9746D">
        <w:rPr>
          <w:rFonts w:ascii="Times New Roman" w:eastAsia="Times New Roman" w:hAnsi="Times New Roman" w:cs="Times New Roman"/>
          <w:color w:val="000000"/>
          <w:sz w:val="24"/>
          <w:szCs w:val="24"/>
        </w:rPr>
        <w:t>, 29(2), pp. 231–251</w:t>
      </w:r>
      <w:r>
        <w:rPr>
          <w:rFonts w:ascii="Times New Roman" w:eastAsia="Times New Roman" w:hAnsi="Times New Roman" w:cs="Times New Roman"/>
          <w:color w:val="000000"/>
          <w:sz w:val="24"/>
          <w:szCs w:val="24"/>
        </w:rPr>
        <w:t xml:space="preserve">. </w:t>
      </w:r>
    </w:p>
    <w:p w:rsidR="006130E9" w:rsidRPr="007D336C" w:rsidRDefault="006130E9" w:rsidP="006C7507">
      <w:pPr>
        <w:spacing w:line="480" w:lineRule="auto"/>
        <w:ind w:left="720" w:hanging="720"/>
        <w:rPr>
          <w:rFonts w:ascii="Times New Roman" w:eastAsia="Calibri" w:hAnsi="Times New Roman" w:cs="Times New Roman"/>
          <w:bCs/>
          <w:sz w:val="24"/>
          <w:szCs w:val="24"/>
        </w:rPr>
      </w:pPr>
      <w:r w:rsidRPr="00D9746D">
        <w:rPr>
          <w:rFonts w:ascii="Times New Roman" w:eastAsia="Times New Roman" w:hAnsi="Times New Roman" w:cs="Times New Roman"/>
          <w:color w:val="000000"/>
          <w:sz w:val="24"/>
          <w:szCs w:val="24"/>
        </w:rPr>
        <w:t>Sghari, A. (2016) ‘Can the staff recognition ensure planned process of organizational change?’,</w:t>
      </w:r>
      <w:r w:rsidRPr="007D336C">
        <w:rPr>
          <w:rFonts w:ascii="Times New Roman" w:eastAsia="Times New Roman" w:hAnsi="Times New Roman" w:cs="Times New Roman"/>
          <w:color w:val="000000"/>
          <w:sz w:val="24"/>
          <w:szCs w:val="24"/>
        </w:rPr>
        <w:t> </w:t>
      </w:r>
      <w:r w:rsidRPr="00D9746D">
        <w:rPr>
          <w:rFonts w:ascii="Times New Roman" w:eastAsia="Times New Roman" w:hAnsi="Times New Roman" w:cs="Times New Roman"/>
          <w:i/>
          <w:iCs/>
          <w:color w:val="000000"/>
          <w:sz w:val="24"/>
          <w:szCs w:val="24"/>
        </w:rPr>
        <w:t>Journal of Organizational Change Management</w:t>
      </w:r>
      <w:r w:rsidRPr="00D9746D">
        <w:rPr>
          <w:rFonts w:ascii="Times New Roman" w:eastAsia="Times New Roman" w:hAnsi="Times New Roman" w:cs="Times New Roman"/>
          <w:color w:val="000000"/>
          <w:sz w:val="24"/>
          <w:szCs w:val="24"/>
        </w:rPr>
        <w:t>, 29(5), pp. 782–792.</w:t>
      </w:r>
    </w:p>
    <w:p w:rsidR="006130E9" w:rsidRPr="006130E9" w:rsidRDefault="006130E9" w:rsidP="006C7507">
      <w:pPr>
        <w:spacing w:line="480" w:lineRule="auto"/>
        <w:rPr>
          <w:rFonts w:ascii="Times New Roman" w:eastAsia="Calibri" w:hAnsi="Times New Roman" w:cs="Times New Roman"/>
          <w:sz w:val="24"/>
          <w:szCs w:val="24"/>
          <w:shd w:val="clear" w:color="auto" w:fill="FFFFFF"/>
        </w:rPr>
      </w:pPr>
    </w:p>
    <w:sectPr w:rsidR="006130E9" w:rsidRPr="006130E9" w:rsidSect="003C314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479C" w:rsidRDefault="00C9479C" w:rsidP="003C3148">
      <w:pPr>
        <w:spacing w:after="0" w:line="240" w:lineRule="auto"/>
      </w:pPr>
      <w:r>
        <w:separator/>
      </w:r>
    </w:p>
  </w:endnote>
  <w:endnote w:type="continuationSeparator" w:id="1">
    <w:p w:rsidR="00C9479C" w:rsidRDefault="00C9479C" w:rsidP="003C314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479C" w:rsidRDefault="00C9479C" w:rsidP="003C3148">
      <w:pPr>
        <w:spacing w:after="0" w:line="240" w:lineRule="auto"/>
      </w:pPr>
      <w:r>
        <w:separator/>
      </w:r>
    </w:p>
  </w:footnote>
  <w:footnote w:type="continuationSeparator" w:id="1">
    <w:p w:rsidR="00C9479C" w:rsidRDefault="00C9479C" w:rsidP="003C314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148" w:rsidRPr="003C3148" w:rsidRDefault="003C3148" w:rsidP="003C3148">
    <w:pPr>
      <w:pStyle w:val="Header"/>
      <w:spacing w:line="480" w:lineRule="auto"/>
      <w:jc w:val="right"/>
      <w:rPr>
        <w:rFonts w:ascii="Times New Roman" w:hAnsi="Times New Roman" w:cs="Times New Roman"/>
        <w:sz w:val="24"/>
        <w:szCs w:val="24"/>
      </w:rPr>
    </w:pPr>
    <w:r w:rsidRPr="003C3148">
      <w:rPr>
        <w:rFonts w:ascii="Times New Roman" w:hAnsi="Times New Roman" w:cs="Times New Roman"/>
        <w:sz w:val="24"/>
        <w:szCs w:val="24"/>
      </w:rPr>
      <w:t>CHANGE MANAGEMENT PLAN</w:t>
    </w:r>
    <w:r w:rsidRPr="003C3148">
      <w:rPr>
        <w:rFonts w:ascii="Times New Roman" w:hAnsi="Times New Roman" w:cs="Times New Roman"/>
        <w:sz w:val="24"/>
        <w:szCs w:val="24"/>
      </w:rPr>
      <w:tab/>
    </w:r>
    <w:r w:rsidRPr="003C3148">
      <w:rPr>
        <w:rFonts w:ascii="Times New Roman" w:hAnsi="Times New Roman" w:cs="Times New Roman"/>
        <w:sz w:val="24"/>
        <w:szCs w:val="24"/>
      </w:rPr>
      <w:tab/>
    </w:r>
    <w:sdt>
      <w:sdtPr>
        <w:rPr>
          <w:rFonts w:ascii="Times New Roman" w:hAnsi="Times New Roman" w:cs="Times New Roman"/>
          <w:sz w:val="24"/>
          <w:szCs w:val="24"/>
        </w:rPr>
        <w:id w:val="2521985"/>
        <w:docPartObj>
          <w:docPartGallery w:val="Page Numbers (Top of Page)"/>
          <w:docPartUnique/>
        </w:docPartObj>
      </w:sdtPr>
      <w:sdtContent>
        <w:r w:rsidR="00956B6D" w:rsidRPr="003C3148">
          <w:rPr>
            <w:rFonts w:ascii="Times New Roman" w:hAnsi="Times New Roman" w:cs="Times New Roman"/>
            <w:sz w:val="24"/>
            <w:szCs w:val="24"/>
          </w:rPr>
          <w:fldChar w:fldCharType="begin"/>
        </w:r>
        <w:r w:rsidRPr="003C3148">
          <w:rPr>
            <w:rFonts w:ascii="Times New Roman" w:hAnsi="Times New Roman" w:cs="Times New Roman"/>
            <w:sz w:val="24"/>
            <w:szCs w:val="24"/>
          </w:rPr>
          <w:instrText xml:space="preserve"> PAGE   \* MERGEFORMAT </w:instrText>
        </w:r>
        <w:r w:rsidR="00956B6D" w:rsidRPr="003C3148">
          <w:rPr>
            <w:rFonts w:ascii="Times New Roman" w:hAnsi="Times New Roman" w:cs="Times New Roman"/>
            <w:sz w:val="24"/>
            <w:szCs w:val="24"/>
          </w:rPr>
          <w:fldChar w:fldCharType="separate"/>
        </w:r>
        <w:r w:rsidR="00B006FF">
          <w:rPr>
            <w:rFonts w:ascii="Times New Roman" w:hAnsi="Times New Roman" w:cs="Times New Roman"/>
            <w:noProof/>
            <w:sz w:val="24"/>
            <w:szCs w:val="24"/>
          </w:rPr>
          <w:t>2</w:t>
        </w:r>
        <w:r w:rsidR="00956B6D" w:rsidRPr="003C3148">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148" w:rsidRPr="003C3148" w:rsidRDefault="003C3148" w:rsidP="003C3148">
    <w:pPr>
      <w:spacing w:line="480" w:lineRule="auto"/>
      <w:jc w:val="center"/>
      <w:rPr>
        <w:rFonts w:ascii="Times New Roman" w:hAnsi="Times New Roman" w:cs="Times New Roman"/>
        <w:sz w:val="24"/>
        <w:szCs w:val="24"/>
      </w:rPr>
    </w:pPr>
    <w:r w:rsidRPr="003C3148">
      <w:rPr>
        <w:rFonts w:ascii="Times New Roman" w:hAnsi="Times New Roman" w:cs="Times New Roman"/>
        <w:sz w:val="24"/>
        <w:szCs w:val="24"/>
      </w:rPr>
      <w:t>Running Head: CHANGE MANAGEMENT PLAN</w:t>
    </w:r>
    <w:r w:rsidRPr="003C3148">
      <w:rPr>
        <w:rFonts w:ascii="Times New Roman" w:hAnsi="Times New Roman" w:cs="Times New Roman"/>
        <w:sz w:val="24"/>
        <w:szCs w:val="24"/>
      </w:rPr>
      <w:tab/>
    </w:r>
    <w:r w:rsidRPr="003C3148">
      <w:rPr>
        <w:rFonts w:ascii="Times New Roman" w:hAnsi="Times New Roman" w:cs="Times New Roman"/>
        <w:sz w:val="24"/>
        <w:szCs w:val="24"/>
      </w:rPr>
      <w:tab/>
    </w:r>
    <w:r w:rsidRPr="003C3148">
      <w:rPr>
        <w:rFonts w:ascii="Times New Roman" w:hAnsi="Times New Roman" w:cs="Times New Roman"/>
        <w:sz w:val="24"/>
        <w:szCs w:val="24"/>
      </w:rPr>
      <w:tab/>
    </w:r>
    <w:r w:rsidRPr="003C3148">
      <w:rPr>
        <w:rFonts w:ascii="Times New Roman" w:hAnsi="Times New Roman" w:cs="Times New Roman"/>
        <w:sz w:val="24"/>
        <w:szCs w:val="24"/>
      </w:rPr>
      <w:tab/>
    </w:r>
    <w:r w:rsidRPr="003C3148">
      <w:rPr>
        <w:rFonts w:ascii="Times New Roman" w:hAnsi="Times New Roman" w:cs="Times New Roman"/>
        <w:sz w:val="24"/>
        <w:szCs w:val="24"/>
      </w:rPr>
      <w:tab/>
    </w:r>
    <w:r w:rsidRPr="003C3148">
      <w:rPr>
        <w:rFonts w:ascii="Times New Roman" w:hAnsi="Times New Roman" w:cs="Times New Roman"/>
        <w:sz w:val="24"/>
        <w:szCs w:val="24"/>
      </w:rPr>
      <w:tab/>
    </w:r>
    <w:r>
      <w:rPr>
        <w:rFonts w:ascii="Times New Roman" w:hAnsi="Times New Roman" w:cs="Times New Roman"/>
        <w:sz w:val="24"/>
        <w:szCs w:val="24"/>
      </w:rPr>
      <w:t xml:space="preserve">     </w:t>
    </w:r>
    <w:sdt>
      <w:sdtPr>
        <w:rPr>
          <w:rFonts w:ascii="Times New Roman" w:hAnsi="Times New Roman" w:cs="Times New Roman"/>
          <w:sz w:val="24"/>
          <w:szCs w:val="24"/>
        </w:rPr>
        <w:id w:val="2521944"/>
        <w:docPartObj>
          <w:docPartGallery w:val="Page Numbers (Top of Page)"/>
          <w:docPartUnique/>
        </w:docPartObj>
      </w:sdtPr>
      <w:sdtContent>
        <w:r w:rsidR="00956B6D" w:rsidRPr="003C3148">
          <w:rPr>
            <w:rFonts w:ascii="Times New Roman" w:hAnsi="Times New Roman" w:cs="Times New Roman"/>
            <w:sz w:val="24"/>
            <w:szCs w:val="24"/>
          </w:rPr>
          <w:fldChar w:fldCharType="begin"/>
        </w:r>
        <w:r w:rsidRPr="003C3148">
          <w:rPr>
            <w:rFonts w:ascii="Times New Roman" w:hAnsi="Times New Roman" w:cs="Times New Roman"/>
            <w:sz w:val="24"/>
            <w:szCs w:val="24"/>
          </w:rPr>
          <w:instrText xml:space="preserve"> PAGE   \* MERGEFORMAT </w:instrText>
        </w:r>
        <w:r w:rsidR="00956B6D" w:rsidRPr="003C3148">
          <w:rPr>
            <w:rFonts w:ascii="Times New Roman" w:hAnsi="Times New Roman" w:cs="Times New Roman"/>
            <w:sz w:val="24"/>
            <w:szCs w:val="24"/>
          </w:rPr>
          <w:fldChar w:fldCharType="separate"/>
        </w:r>
        <w:r w:rsidR="00B006FF">
          <w:rPr>
            <w:rFonts w:ascii="Times New Roman" w:hAnsi="Times New Roman" w:cs="Times New Roman"/>
            <w:noProof/>
            <w:sz w:val="24"/>
            <w:szCs w:val="24"/>
          </w:rPr>
          <w:t>1</w:t>
        </w:r>
        <w:r w:rsidR="00956B6D" w:rsidRPr="003C3148">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D2DF5"/>
    <w:rsid w:val="00016D4C"/>
    <w:rsid w:val="00020DE4"/>
    <w:rsid w:val="000272FE"/>
    <w:rsid w:val="000519A6"/>
    <w:rsid w:val="00053218"/>
    <w:rsid w:val="00070976"/>
    <w:rsid w:val="00071F53"/>
    <w:rsid w:val="000732C0"/>
    <w:rsid w:val="000738D6"/>
    <w:rsid w:val="0007456C"/>
    <w:rsid w:val="00075AE2"/>
    <w:rsid w:val="00076645"/>
    <w:rsid w:val="000A4485"/>
    <w:rsid w:val="000B0BCD"/>
    <w:rsid w:val="000B54A8"/>
    <w:rsid w:val="000C0ACC"/>
    <w:rsid w:val="000C0F85"/>
    <w:rsid w:val="000C12D6"/>
    <w:rsid w:val="000E365D"/>
    <w:rsid w:val="000E56E6"/>
    <w:rsid w:val="000F61F1"/>
    <w:rsid w:val="000F663B"/>
    <w:rsid w:val="00102624"/>
    <w:rsid w:val="00104586"/>
    <w:rsid w:val="001233CA"/>
    <w:rsid w:val="001419DF"/>
    <w:rsid w:val="001507F6"/>
    <w:rsid w:val="0016520D"/>
    <w:rsid w:val="00165327"/>
    <w:rsid w:val="00171D84"/>
    <w:rsid w:val="001A3623"/>
    <w:rsid w:val="001A4EBC"/>
    <w:rsid w:val="001A54F1"/>
    <w:rsid w:val="001B48ED"/>
    <w:rsid w:val="00204A58"/>
    <w:rsid w:val="00222EBB"/>
    <w:rsid w:val="00224E78"/>
    <w:rsid w:val="00226C7E"/>
    <w:rsid w:val="0023045D"/>
    <w:rsid w:val="00244CBA"/>
    <w:rsid w:val="00245503"/>
    <w:rsid w:val="00254710"/>
    <w:rsid w:val="00281566"/>
    <w:rsid w:val="00283C2F"/>
    <w:rsid w:val="00291FBC"/>
    <w:rsid w:val="00292409"/>
    <w:rsid w:val="002B23A0"/>
    <w:rsid w:val="002B2FAE"/>
    <w:rsid w:val="002B42B6"/>
    <w:rsid w:val="002C537F"/>
    <w:rsid w:val="002C6AD5"/>
    <w:rsid w:val="002E10D4"/>
    <w:rsid w:val="002E1A8B"/>
    <w:rsid w:val="002E764B"/>
    <w:rsid w:val="003056DF"/>
    <w:rsid w:val="00305FA6"/>
    <w:rsid w:val="00312ED1"/>
    <w:rsid w:val="00337CA2"/>
    <w:rsid w:val="003401D2"/>
    <w:rsid w:val="00351D68"/>
    <w:rsid w:val="00356298"/>
    <w:rsid w:val="0038622C"/>
    <w:rsid w:val="00387B95"/>
    <w:rsid w:val="00390548"/>
    <w:rsid w:val="003A2701"/>
    <w:rsid w:val="003B598A"/>
    <w:rsid w:val="003C3148"/>
    <w:rsid w:val="003C5144"/>
    <w:rsid w:val="003D15AB"/>
    <w:rsid w:val="003D2D52"/>
    <w:rsid w:val="003E52A2"/>
    <w:rsid w:val="003E7ECE"/>
    <w:rsid w:val="003F30CA"/>
    <w:rsid w:val="003F520A"/>
    <w:rsid w:val="003F7071"/>
    <w:rsid w:val="0040578E"/>
    <w:rsid w:val="004134DF"/>
    <w:rsid w:val="004273F7"/>
    <w:rsid w:val="00431759"/>
    <w:rsid w:val="00432B76"/>
    <w:rsid w:val="00443C3C"/>
    <w:rsid w:val="004557CB"/>
    <w:rsid w:val="00455A4C"/>
    <w:rsid w:val="004564E4"/>
    <w:rsid w:val="00456B0C"/>
    <w:rsid w:val="00465980"/>
    <w:rsid w:val="00471279"/>
    <w:rsid w:val="004727CB"/>
    <w:rsid w:val="00475B1C"/>
    <w:rsid w:val="00486F32"/>
    <w:rsid w:val="00492463"/>
    <w:rsid w:val="004A43BC"/>
    <w:rsid w:val="004B2507"/>
    <w:rsid w:val="004C04B0"/>
    <w:rsid w:val="004D1839"/>
    <w:rsid w:val="004D264C"/>
    <w:rsid w:val="004E5D55"/>
    <w:rsid w:val="004F1ADE"/>
    <w:rsid w:val="004F55E2"/>
    <w:rsid w:val="0050715B"/>
    <w:rsid w:val="00522F38"/>
    <w:rsid w:val="00537A1F"/>
    <w:rsid w:val="00552F86"/>
    <w:rsid w:val="00580BAC"/>
    <w:rsid w:val="005874B8"/>
    <w:rsid w:val="005915B1"/>
    <w:rsid w:val="00594541"/>
    <w:rsid w:val="005A490B"/>
    <w:rsid w:val="005C7CEB"/>
    <w:rsid w:val="005E7C7C"/>
    <w:rsid w:val="005F1838"/>
    <w:rsid w:val="00605BB6"/>
    <w:rsid w:val="00606457"/>
    <w:rsid w:val="006130E9"/>
    <w:rsid w:val="00613ED4"/>
    <w:rsid w:val="00620534"/>
    <w:rsid w:val="00621ABD"/>
    <w:rsid w:val="006235AA"/>
    <w:rsid w:val="0064183F"/>
    <w:rsid w:val="00641F94"/>
    <w:rsid w:val="00651A33"/>
    <w:rsid w:val="00653A62"/>
    <w:rsid w:val="00667C82"/>
    <w:rsid w:val="006707B5"/>
    <w:rsid w:val="00671581"/>
    <w:rsid w:val="00681475"/>
    <w:rsid w:val="00690644"/>
    <w:rsid w:val="006A06D1"/>
    <w:rsid w:val="006A0F1E"/>
    <w:rsid w:val="006C2345"/>
    <w:rsid w:val="006C7507"/>
    <w:rsid w:val="006E2A02"/>
    <w:rsid w:val="006F4299"/>
    <w:rsid w:val="006F78A8"/>
    <w:rsid w:val="0070796D"/>
    <w:rsid w:val="00710815"/>
    <w:rsid w:val="00711082"/>
    <w:rsid w:val="007132AB"/>
    <w:rsid w:val="007531F8"/>
    <w:rsid w:val="00763863"/>
    <w:rsid w:val="0077544E"/>
    <w:rsid w:val="00775C20"/>
    <w:rsid w:val="00781D93"/>
    <w:rsid w:val="007A632A"/>
    <w:rsid w:val="007B1DB8"/>
    <w:rsid w:val="007C3553"/>
    <w:rsid w:val="007C3715"/>
    <w:rsid w:val="007C6A78"/>
    <w:rsid w:val="007D0B60"/>
    <w:rsid w:val="007D1896"/>
    <w:rsid w:val="007D4A6F"/>
    <w:rsid w:val="007E5C09"/>
    <w:rsid w:val="00802602"/>
    <w:rsid w:val="00804B00"/>
    <w:rsid w:val="00805CA7"/>
    <w:rsid w:val="008159E4"/>
    <w:rsid w:val="00817716"/>
    <w:rsid w:val="00820E22"/>
    <w:rsid w:val="0084063D"/>
    <w:rsid w:val="00874068"/>
    <w:rsid w:val="008A0996"/>
    <w:rsid w:val="008A158D"/>
    <w:rsid w:val="008B3553"/>
    <w:rsid w:val="008B38AF"/>
    <w:rsid w:val="008C33C0"/>
    <w:rsid w:val="008D6725"/>
    <w:rsid w:val="008F103C"/>
    <w:rsid w:val="008F3F5A"/>
    <w:rsid w:val="00921CEB"/>
    <w:rsid w:val="00926A1F"/>
    <w:rsid w:val="0093354E"/>
    <w:rsid w:val="00942A6B"/>
    <w:rsid w:val="00956B6D"/>
    <w:rsid w:val="00957AD5"/>
    <w:rsid w:val="00962C45"/>
    <w:rsid w:val="00964241"/>
    <w:rsid w:val="009652A2"/>
    <w:rsid w:val="0096629C"/>
    <w:rsid w:val="009773FC"/>
    <w:rsid w:val="00982565"/>
    <w:rsid w:val="0099296D"/>
    <w:rsid w:val="009A2B1C"/>
    <w:rsid w:val="009A2EEE"/>
    <w:rsid w:val="009B1716"/>
    <w:rsid w:val="009C46E6"/>
    <w:rsid w:val="009C4BA0"/>
    <w:rsid w:val="009D3FBC"/>
    <w:rsid w:val="009D66FA"/>
    <w:rsid w:val="009D7708"/>
    <w:rsid w:val="009E2A71"/>
    <w:rsid w:val="009E53FF"/>
    <w:rsid w:val="009F15E5"/>
    <w:rsid w:val="009F4CD6"/>
    <w:rsid w:val="00A027B2"/>
    <w:rsid w:val="00A04EAF"/>
    <w:rsid w:val="00A14C26"/>
    <w:rsid w:val="00A26DC9"/>
    <w:rsid w:val="00A3134E"/>
    <w:rsid w:val="00A67812"/>
    <w:rsid w:val="00A751A6"/>
    <w:rsid w:val="00A76775"/>
    <w:rsid w:val="00A77C08"/>
    <w:rsid w:val="00A90287"/>
    <w:rsid w:val="00AA24D7"/>
    <w:rsid w:val="00AA4B9D"/>
    <w:rsid w:val="00AB35D8"/>
    <w:rsid w:val="00AB5113"/>
    <w:rsid w:val="00AC6EC5"/>
    <w:rsid w:val="00AD3847"/>
    <w:rsid w:val="00AE33EF"/>
    <w:rsid w:val="00AF3FC4"/>
    <w:rsid w:val="00AF5329"/>
    <w:rsid w:val="00B006FF"/>
    <w:rsid w:val="00B06344"/>
    <w:rsid w:val="00B14575"/>
    <w:rsid w:val="00B272BE"/>
    <w:rsid w:val="00B333F2"/>
    <w:rsid w:val="00B515E5"/>
    <w:rsid w:val="00B5419A"/>
    <w:rsid w:val="00B56EDC"/>
    <w:rsid w:val="00B903FC"/>
    <w:rsid w:val="00B90D42"/>
    <w:rsid w:val="00B933FC"/>
    <w:rsid w:val="00BA56EB"/>
    <w:rsid w:val="00BA5841"/>
    <w:rsid w:val="00BC490A"/>
    <w:rsid w:val="00BD2DF5"/>
    <w:rsid w:val="00BD3130"/>
    <w:rsid w:val="00BF1E59"/>
    <w:rsid w:val="00BF27E4"/>
    <w:rsid w:val="00C14DB7"/>
    <w:rsid w:val="00C16821"/>
    <w:rsid w:val="00C168D6"/>
    <w:rsid w:val="00C213E7"/>
    <w:rsid w:val="00C2729D"/>
    <w:rsid w:val="00C315D6"/>
    <w:rsid w:val="00C31F87"/>
    <w:rsid w:val="00C373C8"/>
    <w:rsid w:val="00C47C73"/>
    <w:rsid w:val="00C6557B"/>
    <w:rsid w:val="00C77291"/>
    <w:rsid w:val="00C8670F"/>
    <w:rsid w:val="00C905C8"/>
    <w:rsid w:val="00C9479C"/>
    <w:rsid w:val="00CA04AE"/>
    <w:rsid w:val="00CB0ED0"/>
    <w:rsid w:val="00CC30C5"/>
    <w:rsid w:val="00CC5008"/>
    <w:rsid w:val="00CD1AA3"/>
    <w:rsid w:val="00CE2C92"/>
    <w:rsid w:val="00CF7769"/>
    <w:rsid w:val="00CF78F9"/>
    <w:rsid w:val="00D02649"/>
    <w:rsid w:val="00D041CE"/>
    <w:rsid w:val="00D05CEA"/>
    <w:rsid w:val="00D1298B"/>
    <w:rsid w:val="00D3435B"/>
    <w:rsid w:val="00D43D80"/>
    <w:rsid w:val="00D53687"/>
    <w:rsid w:val="00D71008"/>
    <w:rsid w:val="00D77DFD"/>
    <w:rsid w:val="00DA0BDE"/>
    <w:rsid w:val="00DB1D0E"/>
    <w:rsid w:val="00DD1C57"/>
    <w:rsid w:val="00DD79C7"/>
    <w:rsid w:val="00DE1A68"/>
    <w:rsid w:val="00E048CA"/>
    <w:rsid w:val="00E05312"/>
    <w:rsid w:val="00E10348"/>
    <w:rsid w:val="00E179CA"/>
    <w:rsid w:val="00E258CE"/>
    <w:rsid w:val="00E318AB"/>
    <w:rsid w:val="00E54478"/>
    <w:rsid w:val="00E7558E"/>
    <w:rsid w:val="00E818F6"/>
    <w:rsid w:val="00E86122"/>
    <w:rsid w:val="00EA785F"/>
    <w:rsid w:val="00EB3383"/>
    <w:rsid w:val="00EB54F6"/>
    <w:rsid w:val="00EB59DD"/>
    <w:rsid w:val="00EB65D6"/>
    <w:rsid w:val="00EC15AF"/>
    <w:rsid w:val="00ED6F46"/>
    <w:rsid w:val="00EF1F1C"/>
    <w:rsid w:val="00EF375E"/>
    <w:rsid w:val="00F01759"/>
    <w:rsid w:val="00F01968"/>
    <w:rsid w:val="00F045A4"/>
    <w:rsid w:val="00F16B71"/>
    <w:rsid w:val="00F21377"/>
    <w:rsid w:val="00F51BAF"/>
    <w:rsid w:val="00F55C9E"/>
    <w:rsid w:val="00F73E83"/>
    <w:rsid w:val="00F77B8D"/>
    <w:rsid w:val="00FB213F"/>
    <w:rsid w:val="00FB6EB9"/>
    <w:rsid w:val="00FC78FB"/>
    <w:rsid w:val="00FD205A"/>
    <w:rsid w:val="00FD5AAE"/>
    <w:rsid w:val="00FE09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2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BD2DF5"/>
  </w:style>
  <w:style w:type="paragraph" w:styleId="Header">
    <w:name w:val="header"/>
    <w:basedOn w:val="Normal"/>
    <w:link w:val="HeaderChar"/>
    <w:uiPriority w:val="99"/>
    <w:unhideWhenUsed/>
    <w:rsid w:val="003C3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3148"/>
  </w:style>
  <w:style w:type="paragraph" w:styleId="Footer">
    <w:name w:val="footer"/>
    <w:basedOn w:val="Normal"/>
    <w:link w:val="FooterChar"/>
    <w:uiPriority w:val="99"/>
    <w:semiHidden/>
    <w:unhideWhenUsed/>
    <w:rsid w:val="003C31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C3148"/>
  </w:style>
</w:styles>
</file>

<file path=word/webSettings.xml><?xml version="1.0" encoding="utf-8"?>
<w:webSettings xmlns:r="http://schemas.openxmlformats.org/officeDocument/2006/relationships" xmlns:w="http://schemas.openxmlformats.org/wordprocessingml/2006/main">
  <w:divs>
    <w:div w:id="1051922221">
      <w:bodyDiv w:val="1"/>
      <w:marLeft w:val="0"/>
      <w:marRight w:val="0"/>
      <w:marTop w:val="0"/>
      <w:marBottom w:val="0"/>
      <w:divBdr>
        <w:top w:val="none" w:sz="0" w:space="0" w:color="auto"/>
        <w:left w:val="none" w:sz="0" w:space="0" w:color="auto"/>
        <w:bottom w:val="none" w:sz="0" w:space="0" w:color="auto"/>
        <w:right w:val="none" w:sz="0" w:space="0" w:color="auto"/>
      </w:divBdr>
      <w:divsChild>
        <w:div w:id="297346502">
          <w:marLeft w:val="0"/>
          <w:marRight w:val="0"/>
          <w:marTop w:val="0"/>
          <w:marBottom w:val="0"/>
          <w:divBdr>
            <w:top w:val="none" w:sz="0" w:space="0" w:color="auto"/>
            <w:left w:val="none" w:sz="0" w:space="0" w:color="auto"/>
            <w:bottom w:val="none" w:sz="0" w:space="0" w:color="auto"/>
            <w:right w:val="none" w:sz="0" w:space="0" w:color="auto"/>
          </w:divBdr>
          <w:divsChild>
            <w:div w:id="1263104188">
              <w:marLeft w:val="0"/>
              <w:marRight w:val="0"/>
              <w:marTop w:val="0"/>
              <w:marBottom w:val="0"/>
              <w:divBdr>
                <w:top w:val="none" w:sz="0" w:space="0" w:color="auto"/>
                <w:left w:val="none" w:sz="0" w:space="0" w:color="auto"/>
                <w:bottom w:val="none" w:sz="0" w:space="0" w:color="auto"/>
                <w:right w:val="none" w:sz="0" w:space="0" w:color="auto"/>
              </w:divBdr>
              <w:divsChild>
                <w:div w:id="65877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1617</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2018-10-09T10:48:00Z</dcterms:created>
  <dcterms:modified xsi:type="dcterms:W3CDTF">2018-10-09T10:48:00Z</dcterms:modified>
</cp:coreProperties>
</file>